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Menuisier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Fenêtre PVC double vitrage 4/16/4 — dépose et pose en rénovation</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2 340,00 €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Porte d'entrée aluminium — dépose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2 400,00 €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2 400,00 €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Bloc-porte intérieur postformé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420,00 €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840,00 €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Parquet contrecollé chêne, pose flottante sur sous-couche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1 700,00 €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Plinthes bois assorties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26</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14,00 €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364,00 €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7 644,00 €</w:t>
      </w:r>
    </w:p>
    <w:p>
      <w:pPr>
        <w:spacing w:after="120"/>
        <w:jc w:val="right"/>
      </w:pPr>
      <w:r>
        <w:rPr>
          <w:rFonts w:ascii="Calibri" w:cs="Calibri" w:eastAsia="Calibri" w:hAnsi="Calibri"/>
          <w:sz w:val="20"/>
          <w:szCs w:val="20"/>
        </w:rPr>
        <w:t xml:space="preserve">TVA 10 % (base 7 644,00 €) : 764,40 €</w:t>
      </w:r>
    </w:p>
    <w:p>
      <w:pPr>
        <w:spacing w:after="240"/>
        <w:jc w:val="right"/>
      </w:pPr>
      <w:r>
        <w:rPr>
          <w:rFonts w:ascii="Calibri" w:cs="Calibri" w:eastAsia="Calibri" w:hAnsi="Calibri"/>
          <w:b/>
          <w:bCs/>
          <w:sz w:val="20"/>
          <w:szCs w:val="20"/>
        </w:rPr>
        <w:t xml:space="preserve">Total TTC (exemple) : 8 408,40 €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Menuisier</dc:title>
  <dc:creator>MonDevisMinute</dc:creator>
  <dc:description>Modèle de devis gratuit pour Menuisier — mondevisminute.com</dc:description>
  <cp:lastModifiedBy>Un-named</cp:lastModifiedBy>
  <cp:revision>1</cp:revision>
  <dcterms:created xsi:type="dcterms:W3CDTF">2026-07-23T07:10:40.746Z</dcterms:created>
  <dcterms:modified xsi:type="dcterms:W3CDTF">2026-07-23T07:10:40.746Z</dcterms:modified>
</cp:coreProperties>
</file>

<file path=docProps/custom.xml><?xml version="1.0" encoding="utf-8"?>
<Properties xmlns="http://schemas.openxmlformats.org/officeDocument/2006/custom-properties" xmlns:vt="http://schemas.openxmlformats.org/officeDocument/2006/docPropsVTypes"/>
</file>